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4"/>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岢岚</w:t>
      </w:r>
      <w:r>
        <w:rPr>
          <w:rFonts w:hint="eastAsia" w:ascii="方正小标宋简体" w:hAnsi="方正小标宋简体" w:eastAsia="方正小标宋简体" w:cs="方正小标宋简体"/>
          <w:sz w:val="44"/>
          <w:szCs w:val="44"/>
        </w:rPr>
        <w:t>县</w:t>
      </w:r>
      <w:r>
        <w:rPr>
          <w:rFonts w:hint="eastAsia" w:ascii="方正小标宋简体" w:hAnsi="方正小标宋简体" w:eastAsia="方正小标宋简体" w:cs="方正小标宋简体"/>
          <w:sz w:val="44"/>
          <w:szCs w:val="44"/>
          <w:lang w:val="en-US" w:eastAsia="zh-CN"/>
        </w:rPr>
        <w:t>行政审批局</w:t>
      </w:r>
    </w:p>
    <w:p>
      <w:pPr>
        <w:pStyle w:val="4"/>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度</w:t>
      </w:r>
      <w:r>
        <w:rPr>
          <w:rFonts w:hint="eastAsia" w:ascii="方正小标宋简体" w:hAnsi="方正小标宋简体" w:eastAsia="方正小标宋简体" w:cs="方正小标宋简体"/>
          <w:sz w:val="44"/>
          <w:szCs w:val="44"/>
        </w:rPr>
        <w:t>政府信息公开年度报告</w:t>
      </w:r>
    </w:p>
    <w:p>
      <w:pPr>
        <w:pStyle w:val="4"/>
        <w:widowControl/>
        <w:spacing w:line="20" w:lineRule="atLeast"/>
        <w:jc w:val="center"/>
        <w:rPr>
          <w:rFonts w:asciiTheme="majorEastAsia" w:hAnsiTheme="majorEastAsia" w:eastAsiaTheme="majorEastAsia" w:cstheme="majorEastAsia"/>
          <w:b/>
          <w:bCs/>
          <w:sz w:val="44"/>
          <w:szCs w:val="44"/>
        </w:rPr>
      </w:pPr>
    </w:p>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600" w:lineRule="atLeast"/>
        <w:ind w:left="0" w:right="0" w:firstLine="645"/>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根据国务院办公厅政府信息与政务公开办公室关于印发《中华人民共和国政府信息公开工作年度报告格式》的通知（国办公开办函〔2021〕30号）和忻州市人民政府办公室《关于切实做好政府信息公开工作年报的督办通知》要求，编制岢岚县行政审批局2022年度政府信息公开年度报告。本报告所列数据统计期限自2022年1月1日起至2022年12月31日止。现将我单位2022年度政府信息公开工作报告如下:</w:t>
      </w:r>
    </w:p>
    <w:p>
      <w:pPr>
        <w:pStyle w:val="4"/>
        <w:widowControl/>
        <w:spacing w:line="20" w:lineRule="atLeast"/>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一、总体情况</w:t>
      </w:r>
    </w:p>
    <w:p>
      <w:pPr>
        <w:pStyle w:val="4"/>
        <w:widowControl/>
        <w:spacing w:line="20" w:lineRule="atLeast"/>
        <w:rPr>
          <w:rFonts w:hint="eastAsia" w:ascii="仿宋" w:hAnsi="仿宋" w:eastAsia="仿宋" w:cs="仿宋"/>
          <w:kern w:val="0"/>
          <w:sz w:val="32"/>
          <w:szCs w:val="32"/>
          <w:lang w:val="en-US" w:eastAsia="zh-CN" w:bidi="ar-SA"/>
        </w:rPr>
      </w:pPr>
      <w:r>
        <w:rPr>
          <w:rFonts w:hint="eastAsia" w:ascii="仿宋" w:hAnsi="仿宋" w:eastAsia="仿宋" w:cs="仿宋"/>
          <w:sz w:val="32"/>
          <w:szCs w:val="32"/>
        </w:rPr>
        <w:t>　</w:t>
      </w:r>
      <w:r>
        <w:rPr>
          <w:rFonts w:hint="eastAsia" w:ascii="仿宋" w:hAnsi="仿宋" w:eastAsia="仿宋" w:cs="仿宋"/>
          <w:kern w:val="0"/>
          <w:sz w:val="32"/>
          <w:szCs w:val="32"/>
          <w:lang w:val="en-US" w:eastAsia="zh-CN" w:bidi="ar-SA"/>
        </w:rPr>
        <w:t>　2022年，岢岚县行政审批局贯彻落实《忻州市人民政府办公室关于印发忻州市2022年政务公开工作实施方案的通知》（忻政办发〔2022〕31号）文件部署和《岢岚县人民政府办公室关于印发岢岚县2022年政务公开工作实施方案的通知》（岢政办发〔2022〕34号）文件要求，切实推进政府信息公开工作规范发展。进一步健全政府信息公开机制，提升政府信息公开质量，深化重点领域信息公开，为优化营商环境，加快乡村振兴、提高医保经办服务效能等方面发挥了积极作用。</w:t>
      </w:r>
    </w:p>
    <w:p>
      <w:pPr>
        <w:pStyle w:val="4"/>
        <w:widowControl/>
        <w:spacing w:line="20" w:lineRule="atLeas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一</w:t>
      </w:r>
      <w:r>
        <w:rPr>
          <w:rFonts w:hint="eastAsia" w:ascii="仿宋" w:hAnsi="仿宋" w:eastAsia="仿宋" w:cs="仿宋"/>
          <w:b/>
          <w:bCs/>
          <w:color w:val="auto"/>
          <w:sz w:val="32"/>
          <w:szCs w:val="32"/>
        </w:rPr>
        <w:t>）政府信息公开制度</w:t>
      </w:r>
      <w:r>
        <w:rPr>
          <w:rFonts w:hint="eastAsia" w:ascii="仿宋" w:hAnsi="仿宋" w:eastAsia="仿宋" w:cs="仿宋"/>
          <w:b/>
          <w:bCs/>
          <w:color w:val="auto"/>
          <w:sz w:val="32"/>
          <w:szCs w:val="32"/>
          <w:lang w:val="en-US" w:eastAsia="zh-CN"/>
        </w:rPr>
        <w:t>完成</w:t>
      </w:r>
      <w:r>
        <w:rPr>
          <w:rFonts w:hint="eastAsia" w:ascii="仿宋" w:hAnsi="仿宋" w:eastAsia="仿宋" w:cs="仿宋"/>
          <w:b/>
          <w:bCs/>
          <w:color w:val="auto"/>
          <w:sz w:val="32"/>
          <w:szCs w:val="32"/>
        </w:rPr>
        <w:t>情况</w:t>
      </w:r>
    </w:p>
    <w:p>
      <w:pPr>
        <w:pStyle w:val="4"/>
        <w:widowControl/>
        <w:spacing w:line="20" w:lineRule="atLeast"/>
        <w:ind w:firstLine="640" w:firstLineChars="200"/>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岢岚县行政审批局建立健全政府信息主动公开工作机制和政府信息公开申请受理机制，规范和完善工作流程，明确责任、程序、公开方式和时限要求，理清申请受理、审查、处理、答复等各个环节，严格落实一次性告知制度、首问负责制、限时办结制、责任追究制等制度，认真抓好政府信息公开协调、考核、追责机制建设。在岢岚县政务服务大厅公开，确保政府信息公开工作顺利、平稳、有序开展。在日常工作中，坚持把关系医保领域、医疗救助等涉及到人民群众切身利益的信息作为公开的重点，依照上级有关要求全面、及时地公开、更新信息。</w:t>
      </w:r>
    </w:p>
    <w:p>
      <w:pPr>
        <w:pStyle w:val="4"/>
        <w:widowControl/>
        <w:spacing w:line="20" w:lineRule="atLeas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二</w:t>
      </w:r>
      <w:r>
        <w:rPr>
          <w:rFonts w:hint="eastAsia" w:ascii="仿宋" w:hAnsi="仿宋" w:eastAsia="仿宋" w:cs="仿宋"/>
          <w:b/>
          <w:bCs/>
          <w:color w:val="auto"/>
          <w:sz w:val="32"/>
          <w:szCs w:val="32"/>
        </w:rPr>
        <w:t>）政府信息公开目录、公开指南的编制、更新情况</w:t>
      </w:r>
    </w:p>
    <w:p>
      <w:pPr>
        <w:pStyle w:val="4"/>
        <w:widowControl/>
        <w:spacing w:line="20" w:lineRule="atLeast"/>
        <w:ind w:firstLine="640" w:firstLineChars="200"/>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政府信息公开目录和指南是政府信息公开的基础，是做好政府信息公开工作，方便群众依法获取政府信息公开的关键。我单位及时向县政府办报送责任范围内相关信息，并通过县政府门户网站及时更新，保障群众通过网络平台获取信息的权力。同时，我单位对涉及人民群众切身利益的政府信息进行进一步梳理，及时认领事项目录清单，规范化更新了原编制的政府信息公开目录和指南，使人民群众更好的行使参与权、监督权和知情权。全方位提升信息公开受众群体以及舆论引导能力，方便群众和企业办事，提高群众满意度。2022年，政务热线全年办理9</w:t>
      </w:r>
      <w:bookmarkStart w:id="0" w:name="_GoBack"/>
      <w:bookmarkEnd w:id="0"/>
      <w:r>
        <w:rPr>
          <w:rFonts w:hint="eastAsia" w:ascii="仿宋" w:hAnsi="仿宋" w:eastAsia="仿宋" w:cs="仿宋"/>
          <w:kern w:val="0"/>
          <w:sz w:val="32"/>
          <w:szCs w:val="32"/>
          <w:lang w:val="en-US" w:eastAsia="zh-CN" w:bidi="ar-SA"/>
        </w:rPr>
        <w:t>件，完成率100%。</w:t>
      </w:r>
    </w:p>
    <w:p>
      <w:pPr>
        <w:pStyle w:val="4"/>
        <w:widowControl/>
        <w:spacing w:line="20" w:lineRule="atLeast"/>
        <w:ind w:firstLine="600" w:firstLineChars="200"/>
        <w:rPr>
          <w:rFonts w:hint="eastAsia" w:ascii="仿宋" w:hAnsi="仿宋" w:eastAsia="仿宋" w:cs="仿宋"/>
          <w:color w:val="auto"/>
          <w:sz w:val="30"/>
          <w:szCs w:val="30"/>
        </w:rPr>
      </w:pPr>
    </w:p>
    <w:p>
      <w:pPr>
        <w:pStyle w:val="4"/>
        <w:widowControl/>
        <w:spacing w:line="20" w:lineRule="atLeast"/>
        <w:rPr>
          <w:rFonts w:hint="eastAsia" w:ascii="仿宋" w:hAnsi="仿宋" w:eastAsia="仿宋" w:cs="仿宋"/>
          <w:color w:val="auto"/>
          <w:sz w:val="30"/>
          <w:szCs w:val="30"/>
        </w:rPr>
      </w:pPr>
      <w:r>
        <w:rPr>
          <w:rFonts w:hint="eastAsia" w:ascii="仿宋" w:hAnsi="仿宋" w:eastAsia="仿宋" w:cs="仿宋"/>
          <w:sz w:val="32"/>
          <w:szCs w:val="32"/>
        </w:rPr>
        <w:t>　　</w:t>
      </w:r>
      <w:r>
        <w:rPr>
          <w:rFonts w:hint="eastAsia" w:ascii="黑体" w:hAnsi="黑体" w:eastAsia="黑体" w:cs="黑体"/>
          <w:b w:val="0"/>
          <w:bCs w:val="0"/>
          <w:color w:val="auto"/>
          <w:sz w:val="30"/>
          <w:szCs w:val="30"/>
        </w:rPr>
        <w:t>二、主动公开政府信息情况</w:t>
      </w:r>
    </w:p>
    <w:tbl>
      <w:tblPr>
        <w:tblStyle w:val="5"/>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bl>
    <w:p>
      <w:pPr>
        <w:pStyle w:val="4"/>
        <w:widowControl/>
        <w:spacing w:line="20" w:lineRule="atLeast"/>
        <w:rPr>
          <w:rFonts w:hint="eastAsia" w:ascii="仿宋" w:hAnsi="仿宋" w:eastAsia="仿宋" w:cs="仿宋"/>
          <w:color w:val="auto"/>
          <w:sz w:val="30"/>
          <w:szCs w:val="30"/>
        </w:rPr>
      </w:pPr>
      <w:r>
        <w:rPr>
          <w:rFonts w:hint="eastAsia" w:ascii="仿宋" w:hAnsi="仿宋" w:eastAsia="仿宋" w:cs="仿宋"/>
          <w:color w:val="auto"/>
          <w:sz w:val="30"/>
          <w:szCs w:val="30"/>
        </w:rPr>
        <w:t>　</w:t>
      </w:r>
      <w:r>
        <w:rPr>
          <w:rFonts w:hint="eastAsia" w:ascii="黑体" w:hAnsi="黑体" w:eastAsia="黑体" w:cs="黑体"/>
          <w:b w:val="0"/>
          <w:bCs w:val="0"/>
          <w:color w:val="auto"/>
          <w:sz w:val="30"/>
          <w:szCs w:val="30"/>
        </w:rPr>
        <w:t>三、收到和处理政府信息公开申请情况</w:t>
      </w:r>
    </w:p>
    <w:tbl>
      <w:tblPr>
        <w:tblStyle w:val="5"/>
        <w:tblW w:w="974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68"/>
        <w:gridCol w:w="943"/>
        <w:gridCol w:w="3276"/>
        <w:gridCol w:w="632"/>
        <w:gridCol w:w="688"/>
        <w:gridCol w:w="688"/>
        <w:gridCol w:w="688"/>
        <w:gridCol w:w="688"/>
        <w:gridCol w:w="688"/>
        <w:gridCol w:w="6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vMerge w:val="restart"/>
            <w:tcBorders>
              <w:tl2br w:val="nil"/>
              <w:tr2bl w:val="nil"/>
            </w:tcBorders>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（本列数据的勾稽关系为：第一项加第二项之和，等于第三项加第四项之和）</w:t>
            </w:r>
          </w:p>
        </w:tc>
        <w:tc>
          <w:tcPr>
            <w:tcW w:w="4761" w:type="dxa"/>
            <w:gridSpan w:val="7"/>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vMerge w:val="continue"/>
            <w:tcBorders>
              <w:tl2br w:val="nil"/>
              <w:tr2bl w:val="nil"/>
            </w:tcBorders>
            <w:tcMar>
              <w:left w:w="108" w:type="dxa"/>
              <w:right w:w="108"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632" w:type="dxa"/>
            <w:vMerge w:val="restart"/>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自然人</w:t>
            </w:r>
          </w:p>
        </w:tc>
        <w:tc>
          <w:tcPr>
            <w:tcW w:w="3440" w:type="dxa"/>
            <w:gridSpan w:val="5"/>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法人或其他组织</w:t>
            </w:r>
          </w:p>
        </w:tc>
        <w:tc>
          <w:tcPr>
            <w:tcW w:w="689" w:type="dxa"/>
            <w:vMerge w:val="restart"/>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99" w:hRule="atLeast"/>
          <w:jc w:val="center"/>
        </w:trPr>
        <w:tc>
          <w:tcPr>
            <w:tcW w:w="4987" w:type="dxa"/>
            <w:gridSpan w:val="3"/>
            <w:vMerge w:val="continue"/>
            <w:tcBorders>
              <w:tl2br w:val="nil"/>
              <w:tr2bl w:val="nil"/>
            </w:tcBorders>
            <w:tcMar>
              <w:left w:w="108" w:type="dxa"/>
              <w:right w:w="108"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632"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688" w:type="dxa"/>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商业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企业</w:t>
            </w:r>
          </w:p>
        </w:tc>
        <w:tc>
          <w:tcPr>
            <w:tcW w:w="688" w:type="dxa"/>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科研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机构</w:t>
            </w:r>
          </w:p>
        </w:tc>
        <w:tc>
          <w:tcPr>
            <w:tcW w:w="688" w:type="dxa"/>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社会公益组织</w:t>
            </w:r>
          </w:p>
        </w:tc>
        <w:tc>
          <w:tcPr>
            <w:tcW w:w="688" w:type="dxa"/>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法律服务机构</w:t>
            </w:r>
          </w:p>
        </w:tc>
        <w:tc>
          <w:tcPr>
            <w:tcW w:w="688" w:type="dxa"/>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其他</w:t>
            </w:r>
          </w:p>
        </w:tc>
        <w:tc>
          <w:tcPr>
            <w:tcW w:w="689"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一、本年新收政府信息公开申请数量</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tabs>
                <w:tab w:val="center" w:pos="347"/>
                <w:tab w:val="left" w:pos="498"/>
              </w:tabs>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二、上年结转政府信息公开申请数量</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restart"/>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三、本年度办理结果</w:t>
            </w:r>
          </w:p>
        </w:tc>
        <w:tc>
          <w:tcPr>
            <w:tcW w:w="4219" w:type="dxa"/>
            <w:gridSpan w:val="2"/>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（一）予以公开</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4219" w:type="dxa"/>
            <w:gridSpan w:val="2"/>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（二）部分公开（区分处理的，只计这一情形，不计其他情形）</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restart"/>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（三）不予公开</w:t>
            </w: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1.属于国家秘密</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2.其他法律行政法规禁止公开</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3.危及“三安全一稳定”</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4.保护第三方合法权益</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5.属于三类内部事务信息</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6.属于四类过程性信息</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7.属于行政执法案卷</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8.属于行政查询事项</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restart"/>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（四）无法提供</w:t>
            </w: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1.本机关不掌握相关政府信息</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2.没有现成信息需要另行制作</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3.补正后申请内容仍不明确</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restart"/>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（五）不予处理</w:t>
            </w: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1.信访举报投诉类申请</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2.重复申请</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3.要求提供公开出版物</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4.无正当理由大量反复申请</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5.要求行政机关确认或重新出具已获取信息</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01"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restart"/>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（六）其他处理</w:t>
            </w: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1.申请人无正当理由逾期不补正、行政机关不再处理其政府信息公开申请</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16"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2.申请人逾期未按收费通知要求缴纳费用、行政机关不再处理其政府信息公开申请</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3.其他</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4219" w:type="dxa"/>
            <w:gridSpan w:val="2"/>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（七）总计</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 </w:t>
            </w:r>
            <w:r>
              <w:rPr>
                <w:rFonts w:hint="eastAsia" w:ascii="仿宋" w:hAnsi="仿宋" w:eastAsia="仿宋" w:cs="仿宋"/>
                <w:color w:val="auto"/>
                <w:sz w:val="24"/>
                <w:szCs w:val="24"/>
                <w:lang w:val="en-US" w:eastAsia="zh-CN"/>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四、结转下年度继续办理</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bl>
    <w:p>
      <w:pPr>
        <w:pStyle w:val="4"/>
        <w:widowControl/>
        <w:spacing w:line="20" w:lineRule="atLeast"/>
        <w:rPr>
          <w:rFonts w:hint="eastAsia" w:ascii="仿宋" w:hAnsi="仿宋" w:eastAsia="仿宋" w:cs="仿宋"/>
          <w:color w:val="auto"/>
          <w:sz w:val="30"/>
          <w:szCs w:val="30"/>
        </w:rPr>
      </w:pPr>
      <w:r>
        <w:rPr>
          <w:rFonts w:hint="eastAsia" w:ascii="仿宋" w:hAnsi="仿宋" w:eastAsia="仿宋" w:cs="仿宋"/>
          <w:color w:val="auto"/>
          <w:sz w:val="30"/>
          <w:szCs w:val="30"/>
        </w:rPr>
        <w:t>　　</w:t>
      </w:r>
      <w:r>
        <w:rPr>
          <w:rFonts w:hint="eastAsia" w:ascii="黑体" w:hAnsi="黑体" w:eastAsia="黑体" w:cs="黑体"/>
          <w:b w:val="0"/>
          <w:bCs w:val="0"/>
          <w:color w:val="auto"/>
          <w:sz w:val="30"/>
          <w:szCs w:val="30"/>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9" w:hRule="atLeast"/>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行政复议</w:t>
            </w:r>
          </w:p>
        </w:tc>
        <w:tc>
          <w:tcPr>
            <w:tcW w:w="6503"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5" w:hRule="atLeast"/>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其他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尚未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63"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color w:val="auto"/>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color w:val="auto"/>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其他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尚未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其他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尚未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0</w:t>
            </w:r>
          </w:p>
        </w:tc>
      </w:tr>
    </w:tbl>
    <w:p>
      <w:pPr>
        <w:pStyle w:val="4"/>
        <w:widowControl/>
        <w:spacing w:line="20" w:lineRule="atLeast"/>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五、政府信息公开工作存在的主要问题及改进情况</w:t>
      </w:r>
    </w:p>
    <w:p>
      <w:pPr>
        <w:pStyle w:val="4"/>
        <w:widowControl/>
        <w:spacing w:line="20" w:lineRule="atLeast"/>
        <w:ind w:firstLine="640" w:firstLineChars="200"/>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我单位2022年政府信息公开工作存在的问题主要表现为主动公开政府文件不及时，相关联的政策解读比例较低，文件解读的内容不够多样化等。</w:t>
      </w:r>
    </w:p>
    <w:p>
      <w:pPr>
        <w:pStyle w:val="4"/>
        <w:widowControl/>
        <w:spacing w:line="20" w:lineRule="atLeast"/>
        <w:ind w:firstLine="640" w:firstLineChars="200"/>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下一步，我单位将继续严格按照政府信息公开、政务公开的各项要求和目标，依托统一的县政府门户网站，不断完善政府信息公开的内容，提升信息公开的及时性。加强宣传教育，进一步增强干部职工做好信息公开工作的责任感和使命感；加强督促指导，健全信息公开工作制度，进一步规范信息公开行为和具体公开内容；加强信息保密审查，安排专人负责信息公开工作，在公开信息前进行信息公开保密审查，确保信息公开的真实、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firstLine="600" w:firstLineChars="200"/>
        <w:jc w:val="both"/>
        <w:textAlignment w:val="auto"/>
        <w:rPr>
          <w:rFonts w:hint="eastAsia" w:ascii="仿宋" w:hAnsi="仿宋" w:eastAsia="仿宋" w:cs="仿宋"/>
          <w:i w:val="0"/>
          <w:iCs w:val="0"/>
          <w:caps w:val="0"/>
          <w:color w:val="auto"/>
          <w:spacing w:val="0"/>
          <w:sz w:val="30"/>
          <w:szCs w:val="30"/>
          <w:shd w:val="clear" w:fill="FFFFFF"/>
        </w:rPr>
      </w:pPr>
    </w:p>
    <w:p>
      <w:pPr>
        <w:pStyle w:val="4"/>
        <w:widowControl/>
        <w:spacing w:line="20" w:lineRule="atLeast"/>
        <w:jc w:val="both"/>
        <w:rPr>
          <w:rFonts w:ascii="仿宋" w:hAnsi="仿宋" w:eastAsia="仿宋" w:cs="仿宋"/>
          <w:sz w:val="32"/>
          <w:szCs w:val="32"/>
        </w:rPr>
      </w:pPr>
    </w:p>
    <w:p>
      <w:pPr>
        <w:pStyle w:val="4"/>
        <w:widowControl/>
        <w:spacing w:line="20" w:lineRule="atLeast"/>
        <w:ind w:firstLine="4480" w:firstLineChars="14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岢岚</w:t>
      </w:r>
      <w:r>
        <w:rPr>
          <w:rFonts w:hint="eastAsia" w:ascii="仿宋" w:hAnsi="仿宋" w:eastAsia="仿宋" w:cs="仿宋"/>
          <w:sz w:val="32"/>
          <w:szCs w:val="32"/>
        </w:rPr>
        <w:t>县</w:t>
      </w:r>
      <w:r>
        <w:rPr>
          <w:rFonts w:hint="eastAsia" w:ascii="仿宋" w:hAnsi="仿宋" w:eastAsia="仿宋" w:cs="仿宋"/>
          <w:sz w:val="32"/>
          <w:szCs w:val="32"/>
          <w:lang w:val="en-US" w:eastAsia="zh-CN"/>
        </w:rPr>
        <w:t>行政审批局</w:t>
      </w:r>
    </w:p>
    <w:p>
      <w:pPr>
        <w:pStyle w:val="4"/>
        <w:widowControl/>
        <w:spacing w:line="20" w:lineRule="atLeast"/>
        <w:ind w:firstLine="4480" w:firstLineChars="1400"/>
        <w:jc w:val="both"/>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年1月</w:t>
      </w:r>
      <w:r>
        <w:rPr>
          <w:rFonts w:hint="eastAsia" w:ascii="仿宋" w:hAnsi="仿宋" w:eastAsia="仿宋" w:cs="仿宋"/>
          <w:sz w:val="32"/>
          <w:szCs w:val="32"/>
          <w:lang w:val="en-US" w:eastAsia="zh-CN"/>
        </w:rPr>
        <w:t>28</w:t>
      </w:r>
      <w:r>
        <w:rPr>
          <w:rFonts w:hint="eastAsia" w:ascii="仿宋" w:hAnsi="仿宋" w:eastAsia="仿宋" w:cs="仿宋"/>
          <w:sz w:val="32"/>
          <w:szCs w:val="32"/>
        </w:rPr>
        <w:t>日</w:t>
      </w:r>
    </w:p>
    <w:p>
      <w:pPr>
        <w:pStyle w:val="4"/>
        <w:widowControl/>
        <w:spacing w:line="20" w:lineRule="atLeast"/>
        <w:jc w:val="both"/>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ExOGViOThiNjEyMGYzNThmODRiZWRhYjY1ZDQ5NzgifQ=="/>
    <w:docVar w:name="KSO_WPS_MARK_KEY" w:val="7e76e38c-262f-4980-848f-938cef03339e"/>
  </w:docVars>
  <w:rsids>
    <w:rsidRoot w:val="00895E82"/>
    <w:rsid w:val="001D562F"/>
    <w:rsid w:val="002041A5"/>
    <w:rsid w:val="00367D8C"/>
    <w:rsid w:val="004B4359"/>
    <w:rsid w:val="00761311"/>
    <w:rsid w:val="00895E82"/>
    <w:rsid w:val="009773EE"/>
    <w:rsid w:val="00A23FC1"/>
    <w:rsid w:val="00B71474"/>
    <w:rsid w:val="00CA2125"/>
    <w:rsid w:val="00D53147"/>
    <w:rsid w:val="080077B7"/>
    <w:rsid w:val="09042A3C"/>
    <w:rsid w:val="0E2F4E92"/>
    <w:rsid w:val="183D49D4"/>
    <w:rsid w:val="1EAF3CC2"/>
    <w:rsid w:val="23CD253E"/>
    <w:rsid w:val="26FF2F64"/>
    <w:rsid w:val="270C0791"/>
    <w:rsid w:val="2F9C3B4F"/>
    <w:rsid w:val="3304641E"/>
    <w:rsid w:val="3E0B0127"/>
    <w:rsid w:val="3E183576"/>
    <w:rsid w:val="3F7869B6"/>
    <w:rsid w:val="402C46D0"/>
    <w:rsid w:val="4CFA58E8"/>
    <w:rsid w:val="4D365240"/>
    <w:rsid w:val="60D91AFA"/>
    <w:rsid w:val="629F32EE"/>
    <w:rsid w:val="6B1837B3"/>
    <w:rsid w:val="6E051E09"/>
    <w:rsid w:val="6FB01145"/>
    <w:rsid w:val="747340A2"/>
    <w:rsid w:val="7FB47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2117</Words>
  <Characters>2188</Characters>
  <Lines>18</Lines>
  <Paragraphs>5</Paragraphs>
  <TotalTime>11</TotalTime>
  <ScaleCrop>false</ScaleCrop>
  <LinksUpToDate>false</LinksUpToDate>
  <CharactersWithSpaces>2218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2022-01-27T04:57:00Z</dcterms:created>
  <dc:creator>Y</dc:creator>
  <cp:lastModifiedBy>胖哥</cp:lastModifiedBy>
  <cp:lastPrinted>2022-01-18T08:44:00Z</cp:lastPrinted>
  <dcterms:modified xsi:type="dcterms:W3CDTF">2023-01-29T06:18:28Z</dcterms:modified>
  <dc:title>静乐县2021年政府信息公开年度报告</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C3FC738C2C76467D8BDF26546BB386A3</vt:lpwstr>
  </property>
</Properties>
</file>