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仿宋_GB2312" w:hAnsi="仿宋_GB2312" w:eastAsia="仿宋_GB2312" w:cs="仿宋_GB2312"/>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岢岚县人民政府</w:t>
      </w:r>
    </w:p>
    <w:p>
      <w:pPr>
        <w:keepNext w:val="0"/>
        <w:keepLines w:val="0"/>
        <w:pageBreakBefore w:val="0"/>
        <w:kinsoku/>
        <w:overflowPunct/>
        <w:topLinePunct w:val="0"/>
        <w:autoSpaceDE/>
        <w:autoSpaceDN/>
        <w:bidi w:val="0"/>
        <w:adjustRightInd/>
        <w:snapToGrid/>
        <w:spacing w:line="620" w:lineRule="exact"/>
        <w:ind w:right="0" w:rightChars="0"/>
        <w:jc w:val="center"/>
        <w:textAlignment w:val="auto"/>
        <w:rPr>
          <w:rFonts w:hint="eastAsia" w:ascii="仿宋_GB2312" w:hAnsi="仿宋_GB2312" w:eastAsia="仿宋_GB2312" w:cs="仿宋_GB2312"/>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2022年政府信息公开年报</w:t>
      </w:r>
    </w:p>
    <w:p>
      <w:pPr>
        <w:keepNext w:val="0"/>
        <w:keepLines w:val="0"/>
        <w:pageBreakBefore w:val="0"/>
        <w:kinsoku/>
        <w:overflowPunct/>
        <w:topLinePunct w:val="0"/>
        <w:autoSpaceDE/>
        <w:autoSpaceDN/>
        <w:bidi w:val="0"/>
        <w:adjustRightInd/>
        <w:snapToGrid/>
        <w:spacing w:beforeAutospacing="0" w:afterAutospacing="0" w:line="620" w:lineRule="exact"/>
        <w:ind w:left="0" w:leftChars="0" w:right="0" w:right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中华人民共和国政府信息公开条例》(国务院令第711号，以下简称新《条例》)和《国务院办公厅政府信息与政务公开办公室关于政府信息公开工作年度报告有关事项的通知》(国办公开办函〔2019〕60号)编制此报告。报告由总体情况、主动公开政府信息情况、收到和处理政府信息公开申请情况、政府信息公开行政复议和行政诉讼情况、存在的主要问题及改进情况工作建议、其他需要报告的事项六部分组成，报告所列数据的统计期限为2022年1月1日至12月31日。结合</w:t>
      </w:r>
      <w:r>
        <w:rPr>
          <w:rFonts w:hint="eastAsia" w:ascii="仿宋_GB2312" w:hAnsi="仿宋_GB2312" w:eastAsia="仿宋_GB2312" w:cs="仿宋_GB2312"/>
          <w:color w:val="000000" w:themeColor="text1"/>
          <w:sz w:val="32"/>
          <w:szCs w:val="32"/>
          <w:lang w:eastAsia="zh-CN"/>
          <w14:textFill>
            <w14:solidFill>
              <w14:schemeClr w14:val="tx1"/>
            </w14:solidFill>
          </w14:textFill>
        </w:rPr>
        <w:t>我县政务公开工作实际，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经县政府同意，</w:t>
      </w:r>
      <w:r>
        <w:rPr>
          <w:rFonts w:hint="eastAsia" w:ascii="仿宋_GB2312" w:hAnsi="仿宋_GB2312" w:eastAsia="仿宋_GB2312" w:cs="仿宋_GB2312"/>
          <w:color w:val="000000" w:themeColor="text1"/>
          <w:sz w:val="32"/>
          <w:szCs w:val="32"/>
          <w:lang w:eastAsia="zh-CN"/>
          <w14:textFill>
            <w14:solidFill>
              <w14:schemeClr w14:val="tx1"/>
            </w14:solidFill>
          </w14:textFill>
        </w:rPr>
        <w:t>现将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2022年度</w:t>
      </w:r>
      <w:r>
        <w:rPr>
          <w:rFonts w:hint="eastAsia" w:ascii="仿宋_GB2312" w:hAnsi="仿宋_GB2312" w:eastAsia="仿宋_GB2312" w:cs="仿宋_GB2312"/>
          <w:color w:val="000000" w:themeColor="text1"/>
          <w:sz w:val="32"/>
          <w:szCs w:val="32"/>
          <w:lang w:eastAsia="zh-CN"/>
          <w14:textFill>
            <w14:solidFill>
              <w14:schemeClr w14:val="tx1"/>
            </w14:solidFill>
          </w14:textFill>
        </w:rPr>
        <w:t>全县政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府</w:t>
      </w:r>
      <w:r>
        <w:rPr>
          <w:rFonts w:hint="eastAsia" w:ascii="仿宋_GB2312" w:hAnsi="仿宋_GB2312" w:eastAsia="仿宋_GB2312" w:cs="仿宋_GB2312"/>
          <w:color w:val="000000" w:themeColor="text1"/>
          <w:sz w:val="32"/>
          <w:szCs w:val="32"/>
          <w:lang w:eastAsia="zh-CN"/>
          <w14:textFill>
            <w14:solidFill>
              <w14:schemeClr w14:val="tx1"/>
            </w14:solidFill>
          </w14:textFill>
        </w:rPr>
        <w:t>信息公开工作情况报告如下：</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一、总体情况</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2022年，岢岚县坚持以习近平新时代中国特色社会主义思想为指引，深入贯彻落实党的二十大精神、习近平总书记视察山西重要讲话精神，认真贯彻落实党中央、国务院关于全面推进政务公开工作的决策部署，按照《中华人民共和国政府信息公开条例》，紧紧围绕经济社会发展和群众关注关切，不断提升政务公开的质量和实效，全力保障人民群众知情权、参与权、表达权、监督权，推动人民满意的服务型政府建设。</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3" w:firstLineChars="200"/>
        <w:jc w:val="both"/>
        <w:textAlignment w:val="auto"/>
        <w:outlineLvl w:val="9"/>
        <w:rPr>
          <w:rFonts w:hint="eastAsia" w:ascii="仿宋_GB2312" w:hAnsi="仿宋_GB2312" w:eastAsia="仿宋_GB2312" w:cs="仿宋_GB2312"/>
          <w:b/>
          <w:bCs/>
          <w:i w:val="0"/>
          <w:caps w:val="0"/>
          <w:color w:val="000000" w:themeColor="text1"/>
          <w:spacing w:val="0"/>
          <w:sz w:val="24"/>
          <w:szCs w:val="24"/>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（一）政府信息主动公开情况</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2022年，我县</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根据《条例》主动公开规定，</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坚持采取多种形式不断</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加大</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政府政务信息</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公开力度。</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Fonts w:hint="default" w:eastAsia="仿宋_GB2312"/>
          <w:color w:val="000000" w:themeColor="text1"/>
          <w:lang w:val="en-US" w:eastAsia="zh-CN"/>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sz w:val="32"/>
          <w:szCs w:val="32"/>
          <w:shd w:val="clear" w:color="auto" w:fill="FFFFFF"/>
          <w:lang w:val="en-US" w:eastAsia="zh-CN"/>
          <w14:textFill>
            <w14:solidFill>
              <w14:schemeClr w14:val="tx1"/>
            </w14:solidFill>
          </w14:textFill>
        </w:rPr>
        <w:t>1.</w:t>
      </w:r>
      <w:r>
        <w:rPr>
          <w:rFonts w:hint="eastAsia" w:ascii="仿宋_GB2312" w:hAnsi="仿宋_GB2312" w:eastAsia="仿宋_GB2312" w:cs="仿宋_GB2312"/>
          <w:b/>
          <w:bCs w:val="0"/>
          <w:i w:val="0"/>
          <w:caps w:val="0"/>
          <w:color w:val="000000" w:themeColor="text1"/>
          <w:spacing w:val="0"/>
          <w:sz w:val="32"/>
          <w:szCs w:val="32"/>
          <w:u w:val="none"/>
          <w:shd w:val="clear" w:color="auto" w:fill="FFFFFF"/>
          <w:lang w:val="en-US" w:eastAsia="zh-CN"/>
          <w14:textFill>
            <w14:solidFill>
              <w14:schemeClr w14:val="tx1"/>
            </w14:solidFill>
          </w14:textFill>
        </w:rPr>
        <w:t>岢岚县人民政府</w:t>
      </w:r>
      <w:r>
        <w:rPr>
          <w:rFonts w:hint="eastAsia" w:ascii="仿宋_GB2312" w:hAnsi="仿宋_GB2312" w:eastAsia="仿宋_GB2312" w:cs="仿宋_GB2312"/>
          <w:b/>
          <w:bCs w:val="0"/>
          <w:i w:val="0"/>
          <w:caps w:val="0"/>
          <w:color w:val="000000" w:themeColor="text1"/>
          <w:spacing w:val="0"/>
          <w:sz w:val="32"/>
          <w:szCs w:val="32"/>
          <w:u w:val="none"/>
          <w:shd w:val="clear" w:color="auto" w:fill="FFFFFF"/>
          <w14:textFill>
            <w14:solidFill>
              <w14:schemeClr w14:val="tx1"/>
            </w14:solidFill>
          </w14:textFill>
        </w:rPr>
        <w:t>网站</w:t>
      </w:r>
      <w:r>
        <w:rPr>
          <w:rFonts w:hint="eastAsia" w:ascii="仿宋_GB2312" w:hAnsi="仿宋_GB2312" w:eastAsia="仿宋_GB2312" w:cs="仿宋_GB2312"/>
          <w:b/>
          <w:bCs w:val="0"/>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县政府网站</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于</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2015年8月改版重新</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建立，本着</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新闻发布、政务</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公开、</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信息畅通、</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互动交流、便民服务的原则</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积极开展公共资源配置、社会公益事业建设、规划计划、统计、重点民生</w:t>
      </w:r>
      <w:bookmarkStart w:id="0" w:name="_GoBack"/>
      <w:bookmarkEnd w:id="0"/>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、公共财政、应急管理等重点领域信息公开工作，</w:t>
      </w:r>
      <w:r>
        <w:rPr>
          <w:rFonts w:hint="eastAsia" w:ascii="仿宋_GB2312" w:hAnsi="仿宋_GB2312" w:eastAsia="仿宋_GB2312" w:cs="仿宋_GB2312"/>
          <w:b w:val="0"/>
          <w:bCs/>
          <w:i w:val="0"/>
          <w:caps w:val="0"/>
          <w:color w:val="000000" w:themeColor="text1"/>
          <w:spacing w:val="0"/>
          <w:sz w:val="32"/>
          <w:szCs w:val="32"/>
          <w:u w:val="none"/>
          <w:shd w:val="clear" w:color="auto" w:fill="FFFFFF"/>
          <w14:textFill>
            <w14:solidFill>
              <w14:schemeClr w14:val="tx1"/>
            </w14:solidFill>
          </w14:textFill>
        </w:rPr>
        <w:t>不断加强日常维护管理，提升政府网站的服务水平。</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根据政务公开和政府信息公开网站建设要求，加大岢岚政府网站更新批次。</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截至20</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22</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年12月底，</w:t>
      </w:r>
      <w:r>
        <w:rPr>
          <w:rFonts w:hint="eastAsia" w:ascii="仿宋_GB2312" w:hAnsi="仿宋_GB2312" w:eastAsia="仿宋_GB2312" w:cs="仿宋_GB2312"/>
          <w:b w:val="0"/>
          <w:bCs/>
          <w:i w:val="0"/>
          <w:caps w:val="0"/>
          <w:color w:val="000000" w:themeColor="text1"/>
          <w:spacing w:val="0"/>
          <w:sz w:val="32"/>
          <w:szCs w:val="32"/>
          <w:u w:val="none"/>
          <w:shd w:val="clear" w:color="auto" w:fill="FFFFFF"/>
          <w:lang w:val="en-US" w:eastAsia="zh-CN"/>
          <w14:textFill>
            <w14:solidFill>
              <w14:schemeClr w14:val="tx1"/>
            </w14:solidFill>
          </w14:textFill>
        </w:rPr>
        <w:t>累计更新4533条。其中：概况类信息更新3982条，政务动态信息更新323条，信息公开目录信息更新228条。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政策解读</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。推进政策性文件与解读方案、解读材料同步组织、同步审签、同步部署。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解读材料经审核后于文件公开的3个工作日内在政府信息公开网“政策解读”栏目发布。特别关注政府规范性文件执行过程中的各方反应，对在政策执行中遇到的具体问题，必要时进行连续性解读。2022年政府网站共发布解读信息85条，各乡镇及各部门以各自信息公示栏、微信群等方式适时对相关政策进行了解读回应。</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舆情回应。</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我县</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全面建立“互联网舆情风险评估和预警、互联网舆情监测和研判、网上信息发布和引导”三大机制及流程，加强对网络舆情的预警防范和监测引导，形成积极向上的主流舆论，营造良好的舆论环境。</w:t>
      </w: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2022年政府网站共收到群众留言90条，办结89条。</w:t>
      </w:r>
    </w:p>
    <w:p>
      <w:pPr>
        <w:keepNext w:val="0"/>
        <w:keepLines w:val="0"/>
        <w:pageBreakBefore w:val="0"/>
        <w:widowControl w:val="0"/>
        <w:kinsoku/>
        <w:wordWrap/>
        <w:overflowPunct/>
        <w:topLinePunct w:val="0"/>
        <w:autoSpaceDE/>
        <w:autoSpaceDN/>
        <w:bidi w:val="0"/>
        <w:adjustRightInd/>
        <w:snapToGrid/>
        <w:spacing w:line="620" w:lineRule="exact"/>
        <w:ind w:firstLine="643" w:firstLineChars="200"/>
        <w:jc w:val="both"/>
        <w:textAlignment w:val="auto"/>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2.政府系统政务新媒体</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县除政府网站外共有政务新媒体3个，分别是岢岚发布微博，岢岚县公安局微信公众号，岢岚县交警大队微信订阅号。政府网站及岢岚发布微博由政府办负责运维；岢岚县公安局微信公众号由县公安局负责运维；交警大队微信订阅号由公安交警大队负责运维。</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微博岢岚发布主要转载国家省市县相关新闻信息，回应处理群众的发帖诉求。岢岚县公安局微信公众号主要发布县公安局要闻、警方资讯、所队动态、法律宣传、方针政策等信息。岢岚县公安交警大队微信订阅号主要是通过不同渠道发布交通安全知识宣传信息、曝光交通违法行为等相关信息。</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left="0" w:leftChars="0"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2022年3个政务新媒体，共发布各类信息1121余条。</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left="0" w:leftChars="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3.随手拍及12345政务热线。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县始终把解决民生问题摆在更加突出重要的位置，选好配强入驻人员和具体操作员，充分运用各类平台走好网上群众路线，及时受理，及时办结，确保企业和群众反映的问题和合理诉求及时得到处置和办理，确保群众诉求“事事有回音、件件有落实”。切实提高为民服务水平，推进依法行政，创新社会治理，切实打造便捷、高效、规范、智慧的政务服务体系，切实维护群众合法权益，把网络问政工作落到实处。</w:t>
      </w:r>
    </w:p>
    <w:p>
      <w:pPr>
        <w:pStyle w:val="2"/>
        <w:keepNext w:val="0"/>
        <w:keepLines w:val="0"/>
        <w:pageBreakBefore w:val="0"/>
        <w:widowControl w:val="0"/>
        <w:kinsoku/>
        <w:wordWrap/>
        <w:overflowPunct/>
        <w:topLinePunct w:val="0"/>
        <w:autoSpaceDE/>
        <w:autoSpaceDN/>
        <w:bidi w:val="0"/>
        <w:adjustRightInd/>
        <w:snapToGrid/>
        <w:spacing w:after="0" w:afterLines="0" w:line="620" w:lineRule="exact"/>
        <w:ind w:left="0" w:leftChars="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2022年，我县随手拍共有入驻单位24个，处理群众咨询及各类诉</w:t>
      </w:r>
      <w:r>
        <w:rPr>
          <w:rFonts w:hint="eastAsia" w:ascii="仿宋_GB2312" w:hAnsi="仿宋_GB2312" w:eastAsia="仿宋_GB2312" w:cs="仿宋_GB2312"/>
          <w:color w:val="auto"/>
          <w:sz w:val="32"/>
          <w:szCs w:val="32"/>
          <w:lang w:val="en-US" w:eastAsia="zh-CN"/>
        </w:rPr>
        <w:t>求3条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。2021年，共收到12345政务热线咨询投诉建议等信息1048条全部处置完毕。</w:t>
      </w:r>
    </w:p>
    <w:p>
      <w:pPr>
        <w:keepNext w:val="0"/>
        <w:keepLines w:val="0"/>
        <w:pageBreakBefore w:val="0"/>
        <w:numPr>
          <w:ilvl w:val="0"/>
          <w:numId w:val="0"/>
        </w:numPr>
        <w:kinsoku/>
        <w:overflowPunct/>
        <w:topLinePunct w:val="0"/>
        <w:autoSpaceDE/>
        <w:autoSpaceDN/>
        <w:bidi w:val="0"/>
        <w:adjustRightInd/>
        <w:snapToGrid/>
        <w:spacing w:line="620" w:lineRule="exact"/>
        <w:ind w:left="640" w:leftChars="0" w:right="0" w:rightChars="0"/>
        <w:jc w:val="both"/>
        <w:textAlignment w:val="auto"/>
        <w:outlineLvl w:val="9"/>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i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b/>
          <w:bCs w:val="0"/>
          <w:i w:val="0"/>
          <w:caps w:val="0"/>
          <w:color w:val="000000" w:themeColor="text1"/>
          <w:spacing w:val="0"/>
          <w:sz w:val="32"/>
          <w:szCs w:val="32"/>
          <w:shd w:val="clear" w:color="auto" w:fill="FFFFFF"/>
          <w:lang w:val="en-US" w:eastAsia="zh-CN"/>
          <w14:textFill>
            <w14:solidFill>
              <w14:schemeClr w14:val="tx1"/>
            </w14:solidFill>
          </w14:textFill>
        </w:rPr>
        <w:t>二</w:t>
      </w:r>
      <w:r>
        <w:rPr>
          <w:rFonts w:hint="eastAsia" w:ascii="仿宋_GB2312" w:hAnsi="仿宋_GB2312" w:eastAsia="仿宋_GB2312" w:cs="仿宋_GB2312"/>
          <w:b/>
          <w:bCs w:val="0"/>
          <w:i w:val="0"/>
          <w:caps w:val="0"/>
          <w:color w:val="000000" w:themeColor="text1"/>
          <w:spacing w:val="0"/>
          <w:sz w:val="32"/>
          <w:szCs w:val="32"/>
          <w:shd w:val="clear" w:color="auto" w:fill="FFFFFF"/>
          <w14:textFill>
            <w14:solidFill>
              <w14:schemeClr w14:val="tx1"/>
            </w14:solidFill>
          </w14:textFill>
        </w:rPr>
        <w:t>）</w:t>
      </w:r>
      <w:r>
        <w:rPr>
          <w:rFonts w:hint="eastAsia" w:ascii="仿宋_GB2312" w:hAnsi="仿宋_GB2312" w:eastAsia="仿宋_GB2312" w:cs="仿宋_GB2312"/>
          <w:b/>
          <w:bCs w:val="0"/>
          <w:color w:val="000000" w:themeColor="text1"/>
          <w:sz w:val="32"/>
          <w:szCs w:val="32"/>
          <w:lang w:val="en-US" w:eastAsia="zh-CN"/>
          <w14:textFill>
            <w14:solidFill>
              <w14:schemeClr w14:val="tx1"/>
            </w14:solidFill>
          </w14:textFill>
        </w:rPr>
        <w:t>依申请公开政府信息情况</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0" w:firstLineChars="200"/>
        <w:jc w:val="both"/>
        <w:textAlignment w:val="auto"/>
        <w:outlineLvl w:val="9"/>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为了保障公民、法人或者其他组织依法获取政府信息，充分发挥政府信息对人民群众生产、生活和经济社会活动的服务作用，</w:t>
      </w: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我县</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依据《中华人民共和国政府信息公开条例》，结合实际</w:t>
      </w:r>
      <w:r>
        <w:rPr>
          <w:rFonts w:hint="eastAsia" w:ascii="仿宋_GB2312" w:hAnsi="仿宋_GB2312"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不断建立</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健全政府信息依申请公开受理、答复机制，认真受理、办理依申请公开</w:t>
      </w:r>
      <w:r>
        <w:rPr>
          <w:rFonts w:hint="eastAsia" w:ascii="仿宋_GB2312" w:hAnsi="仿宋_GB2312" w:eastAsia="仿宋_GB2312" w:cs="仿宋_GB2312"/>
          <w:b w:val="0"/>
          <w:i w:val="0"/>
          <w:caps w:val="0"/>
          <w:color w:val="000000" w:themeColor="text1"/>
          <w:spacing w:val="0"/>
          <w:sz w:val="32"/>
          <w:szCs w:val="32"/>
          <w:shd w:val="clear" w:color="auto" w:fill="FFFFFF"/>
          <w:lang w:eastAsia="zh-CN"/>
          <w14:textFill>
            <w14:solidFill>
              <w14:schemeClr w14:val="tx1"/>
            </w14:solidFill>
          </w14:textFill>
        </w:rPr>
        <w:t>并</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及时公布申请受理情况和办理结果。</w:t>
      </w:r>
      <w:r>
        <w:rPr>
          <w:rFonts w:hint="eastAsia" w:ascii="仿宋_GB2312" w:hAnsi="仿宋_GB2312" w:eastAsia="仿宋_GB2312" w:cs="仿宋_GB2312"/>
          <w:b w:val="0"/>
          <w:i w:val="0"/>
          <w:caps w:val="0"/>
          <w:color w:val="000000" w:themeColor="text1"/>
          <w:spacing w:val="0"/>
          <w:sz w:val="32"/>
          <w:szCs w:val="32"/>
          <w:shd w:val="clear" w:color="auto" w:fill="FFFFFF"/>
          <w:lang w:val="en-US" w:eastAsia="zh-CN"/>
          <w14:textFill>
            <w14:solidFill>
              <w14:schemeClr w14:val="tx1"/>
            </w14:solidFill>
          </w14:textFill>
        </w:rPr>
        <w:t>2022年，收到申请3条，全部按规定答复。</w:t>
      </w:r>
    </w:p>
    <w:p>
      <w:pPr>
        <w:keepNext w:val="0"/>
        <w:keepLines w:val="0"/>
        <w:pageBreakBefore w:val="0"/>
        <w:numPr>
          <w:ilvl w:val="0"/>
          <w:numId w:val="0"/>
        </w:numPr>
        <w:kinsoku/>
        <w:overflowPunct/>
        <w:topLinePunct w:val="0"/>
        <w:autoSpaceDE/>
        <w:autoSpaceDN/>
        <w:bidi w:val="0"/>
        <w:adjustRightInd/>
        <w:snapToGrid/>
        <w:spacing w:line="620" w:lineRule="exact"/>
        <w:ind w:left="640" w:leftChars="0" w:right="0" w:right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截至目前没有行政复议、诉讼情况。</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（三）政府政务信息公开管理运行情况</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政府网站及政府新媒体既是岢岚县对外开放的窗口，又是与外界交流的平台。当前我们主要是认真做好门户网站及各类载体信息公开更新，充分发挥政务信息公开互动交流平台作用。政府网站目前设置的页面栏目有：政务要闻、政府信息公开、政务服务、互动交流、走进岢岚、公共数据以及若干子栏目，包括信政策解读、县长信箱、信息公开、营商环境等，其公开内容涵括到我县的基本情况、职能配置、工作动态、权力运行等方面。我们安排了专人负责信息采集上报工作，每天及时更新信息，充分发挥了网站重要信息宣传、发布的作用。</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根据市政府统一安排，已完成网站集约化建设，运行良好。网站的安全维护市县两级共同负责，该公司指派专人定期对政府网站进行安全维护。2017年以来信息化建设（含运维）每年投入约3万元。</w:t>
      </w:r>
    </w:p>
    <w:p>
      <w:pPr>
        <w:keepNext w:val="0"/>
        <w:keepLines w:val="0"/>
        <w:pageBreakBefore w:val="0"/>
        <w:numPr>
          <w:ilvl w:val="0"/>
          <w:numId w:val="0"/>
        </w:numPr>
        <w:kinsoku/>
        <w:overflowPunct/>
        <w:topLinePunct w:val="0"/>
        <w:autoSpaceDE/>
        <w:autoSpaceDN/>
        <w:bidi w:val="0"/>
        <w:adjustRightInd/>
        <w:snapToGrid/>
        <w:spacing w:line="620" w:lineRule="exact"/>
        <w:ind w:right="0" w:rightChars="0" w:firstLine="643"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一是加强领导，强化监管。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进一步改善领导方式和执政方式，提高干部的领导水平和执政水平，拆除党和人民之间的“隔心墙”，架起“连心桥”，我县围绕“规范、提高、拓展、扩面”的工作思路，把政务公开工作作为一项“民心工程”来抓紧抓好，抓落实。一方面，加强了组织领导，建立了工作领导组及工作方案，由周宁副县长具体分管，政府办张建军主任总负责，专人进行信息更新维护。另一方面，加强了政务公开宣传发动工作，坚持把舆论导向作为深化政务公开工作的一项重要手段，通过大力宣传，政务公开日益深入人心，政府为民服务意识，群众民主管理意识不断增强。</w:t>
      </w:r>
    </w:p>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Style w:val="8"/>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二是加强考核，优化提高</w:t>
      </w:r>
      <w:r>
        <w:rPr>
          <w:rFonts w:hint="eastAsia" w:ascii="黑体" w:hAnsi="黑体" w:eastAsia="黑体" w:cs="黑体"/>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2021年我县已将全县10个乡镇及26个重点部门纳入政务公开考核范围，并</w:t>
      </w:r>
      <w:r>
        <w:rPr>
          <w:rStyle w:val="8"/>
          <w:rFonts w:hint="eastAsia" w:ascii="仿宋_GB2312" w:hAnsi="仿宋_GB2312" w:eastAsia="仿宋_GB2312" w:cs="仿宋_GB2312"/>
          <w:color w:val="000000" w:themeColor="text1"/>
          <w:sz w:val="32"/>
          <w:szCs w:val="32"/>
          <w14:textFill>
            <w14:solidFill>
              <w14:schemeClr w14:val="tx1"/>
            </w14:solidFill>
          </w14:textFill>
        </w:rPr>
        <w:t>采取查阅政务公开档案资料，到部分</w:t>
      </w:r>
      <w:r>
        <w:rPr>
          <w:rStyle w:val="8"/>
          <w:rFonts w:hint="eastAsia" w:ascii="仿宋_GB2312" w:hAnsi="仿宋_GB2312" w:eastAsia="仿宋_GB2312" w:cs="仿宋_GB2312"/>
          <w:color w:val="000000" w:themeColor="text1"/>
          <w:sz w:val="32"/>
          <w:szCs w:val="32"/>
          <w:lang w:val="en-US" w:eastAsia="zh-CN"/>
          <w14:textFill>
            <w14:solidFill>
              <w14:schemeClr w14:val="tx1"/>
            </w14:solidFill>
          </w14:textFill>
        </w:rPr>
        <w:t>单位实地</w:t>
      </w:r>
      <w:r>
        <w:rPr>
          <w:rStyle w:val="8"/>
          <w:rFonts w:hint="eastAsia" w:ascii="仿宋_GB2312" w:hAnsi="仿宋_GB2312" w:eastAsia="仿宋_GB2312" w:cs="仿宋_GB2312"/>
          <w:color w:val="000000" w:themeColor="text1"/>
          <w:sz w:val="32"/>
          <w:szCs w:val="32"/>
          <w14:textFill>
            <w14:solidFill>
              <w14:schemeClr w14:val="tx1"/>
            </w14:solidFill>
          </w14:textFill>
        </w:rPr>
        <w:t>查看公开栏、制度表、办事流程图等对被检查单位的政务公开工作进行了全面考核</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通过检查被考核单位开展政务公开的情况，从组织领导、政务公开、政府信息公开、公开方式、</w:t>
      </w:r>
      <w:r>
        <w:rPr>
          <w:rStyle w:val="8"/>
          <w:rFonts w:hint="eastAsia" w:ascii="仿宋_GB2312" w:hAnsi="仿宋_GB2312" w:eastAsia="仿宋_GB2312" w:cs="仿宋_GB2312"/>
          <w:color w:val="000000" w:themeColor="text1"/>
          <w:sz w:val="32"/>
          <w:szCs w:val="32"/>
          <w:lang w:val="en-US" w:eastAsia="zh-CN"/>
          <w14:textFill>
            <w14:solidFill>
              <w14:schemeClr w14:val="tx1"/>
            </w14:solidFill>
          </w14:textFill>
        </w:rPr>
        <w:t>解读回应等</w:t>
      </w:r>
      <w:r>
        <w:rPr>
          <w:rStyle w:val="8"/>
          <w:rFonts w:hint="eastAsia" w:ascii="仿宋_GB2312" w:hAnsi="仿宋_GB2312" w:eastAsia="仿宋_GB2312" w:cs="仿宋_GB2312"/>
          <w:color w:val="000000" w:themeColor="text1"/>
          <w:sz w:val="32"/>
          <w:szCs w:val="32"/>
          <w14:textFill>
            <w14:solidFill>
              <w14:schemeClr w14:val="tx1"/>
            </w14:solidFill>
          </w14:textFill>
        </w:rPr>
        <w:t>方面进行量化打分，</w:t>
      </w:r>
      <w:r>
        <w:rPr>
          <w:rStyle w:val="8"/>
          <w:rFonts w:hint="eastAsia" w:ascii="仿宋_GB2312" w:hAnsi="仿宋_GB2312" w:eastAsia="仿宋_GB2312" w:cs="仿宋_GB2312"/>
          <w:color w:val="000000" w:themeColor="text1"/>
          <w:sz w:val="32"/>
          <w:szCs w:val="32"/>
          <w:lang w:val="en-US" w:eastAsia="zh-CN"/>
          <w14:textFill>
            <w14:solidFill>
              <w14:schemeClr w14:val="tx1"/>
            </w14:solidFill>
          </w14:textFill>
        </w:rPr>
        <w:t>基本完成了相关工作任务。</w:t>
      </w:r>
    </w:p>
    <w:p>
      <w:pPr>
        <w:keepNext w:val="0"/>
        <w:keepLines w:val="0"/>
        <w:pageBreakBefore w:val="0"/>
        <w:numPr>
          <w:ilvl w:val="0"/>
          <w:numId w:val="0"/>
        </w:numPr>
        <w:kinsoku/>
        <w:overflowPunct/>
        <w:topLinePunct w:val="0"/>
        <w:autoSpaceDE/>
        <w:autoSpaceDN/>
        <w:bidi w:val="0"/>
        <w:adjustRightInd/>
        <w:snapToGrid/>
        <w:spacing w:line="620" w:lineRule="exact"/>
        <w:ind w:left="640" w:leftChars="0" w:right="0" w:rightChars="0"/>
        <w:jc w:val="both"/>
        <w:textAlignment w:val="auto"/>
        <w:outlineLvl w:val="9"/>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t>二、</w:t>
      </w:r>
      <w:r>
        <w:rPr>
          <w:rFonts w:hint="eastAsia" w:ascii="黑体" w:hAnsi="黑体" w:eastAsia="黑体" w:cs="黑体"/>
          <w:b w:val="0"/>
          <w:bCs/>
          <w:i w:val="0"/>
          <w:caps w:val="0"/>
          <w:color w:val="000000" w:themeColor="text1"/>
          <w:spacing w:val="0"/>
          <w:sz w:val="32"/>
          <w:szCs w:val="32"/>
          <w:shd w:val="clear" w:fill="FFFFFF"/>
          <w14:textFill>
            <w14:solidFill>
              <w14:schemeClr w14:val="tx1"/>
            </w14:solidFill>
          </w14:textFill>
        </w:rPr>
        <w:t>主动公开政府信息情况</w:t>
      </w:r>
    </w:p>
    <w:tbl>
      <w:tblPr>
        <w:tblStyle w:val="7"/>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1940"/>
        <w:gridCol w:w="2100"/>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jc w:val="center"/>
        </w:trPr>
        <w:tc>
          <w:tcPr>
            <w:tcW w:w="8850" w:type="dxa"/>
            <w:gridSpan w:val="4"/>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jc w:val="center"/>
        </w:trPr>
        <w:tc>
          <w:tcPr>
            <w:tcW w:w="225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1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本年制发件数</w:t>
            </w:r>
          </w:p>
        </w:tc>
        <w:tc>
          <w:tcPr>
            <w:tcW w:w="210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本年废止件数</w:t>
            </w:r>
          </w:p>
        </w:tc>
        <w:tc>
          <w:tcPr>
            <w:tcW w:w="255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5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规章</w:t>
            </w:r>
          </w:p>
        </w:tc>
        <w:tc>
          <w:tcPr>
            <w:tcW w:w="1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c>
          <w:tcPr>
            <w:tcW w:w="210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c>
          <w:tcPr>
            <w:tcW w:w="255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5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行政规范性文件</w:t>
            </w:r>
          </w:p>
        </w:tc>
        <w:tc>
          <w:tcPr>
            <w:tcW w:w="194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c>
          <w:tcPr>
            <w:tcW w:w="210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c>
          <w:tcPr>
            <w:tcW w:w="2552"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8850" w:type="dxa"/>
            <w:gridSpan w:val="4"/>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5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6592" w:type="dxa"/>
            <w:gridSpan w:val="3"/>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5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行政许可</w:t>
            </w:r>
          </w:p>
        </w:tc>
        <w:tc>
          <w:tcPr>
            <w:tcW w:w="6592" w:type="dxa"/>
            <w:gridSpan w:val="3"/>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8850" w:type="dxa"/>
            <w:gridSpan w:val="4"/>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exact"/>
          <w:jc w:val="center"/>
        </w:trPr>
        <w:tc>
          <w:tcPr>
            <w:tcW w:w="225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6592" w:type="dxa"/>
            <w:gridSpan w:val="3"/>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5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行政处罚</w:t>
            </w:r>
          </w:p>
        </w:tc>
        <w:tc>
          <w:tcPr>
            <w:tcW w:w="6592" w:type="dxa"/>
            <w:gridSpan w:val="3"/>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5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行政强制</w:t>
            </w:r>
          </w:p>
        </w:tc>
        <w:tc>
          <w:tcPr>
            <w:tcW w:w="6592" w:type="dxa"/>
            <w:gridSpan w:val="3"/>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default"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exact"/>
          <w:jc w:val="center"/>
        </w:trPr>
        <w:tc>
          <w:tcPr>
            <w:tcW w:w="8850" w:type="dxa"/>
            <w:gridSpan w:val="4"/>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val="en-US" w:eastAsia="zh-CN"/>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5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信息内容</w:t>
            </w:r>
          </w:p>
        </w:tc>
        <w:tc>
          <w:tcPr>
            <w:tcW w:w="6592" w:type="dxa"/>
            <w:gridSpan w:val="3"/>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本年收费金额（单位：</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58"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40" w:lineRule="exact"/>
              <w:ind w:left="0" w:leftChars="0" w:right="0" w:rightChars="0"/>
              <w:jc w:val="center"/>
              <w:textAlignment w:val="auto"/>
              <w:rPr>
                <w:rFonts w:hint="eastAsia" w:ascii="仿宋_GB2312" w:hAnsi="仿宋_GB2312" w:eastAsia="仿宋_GB2312" w:cs="仿宋_GB2312"/>
                <w:color w:val="000000" w:themeColor="text1"/>
                <w:kern w:val="2"/>
                <w:sz w:val="28"/>
                <w:szCs w:val="28"/>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行政事业性收费</w:t>
            </w:r>
          </w:p>
        </w:tc>
        <w:tc>
          <w:tcPr>
            <w:tcW w:w="6592" w:type="dxa"/>
            <w:gridSpan w:val="3"/>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after="0" w:afterLines="0" w:afterAutospacing="0" w:line="34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57.29</w:t>
            </w:r>
          </w:p>
        </w:tc>
      </w:tr>
    </w:tbl>
    <w:p>
      <w:pPr>
        <w:pStyle w:val="2"/>
        <w:widowControl w:val="0"/>
        <w:numPr>
          <w:ilvl w:val="0"/>
          <w:numId w:val="0"/>
        </w:numPr>
        <w:spacing w:after="120" w:afterLines="0" w:afterAutospacing="0" w:line="480" w:lineRule="auto"/>
        <w:jc w:val="both"/>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6"/>
        <w:gridCol w:w="674"/>
        <w:gridCol w:w="2391"/>
        <w:gridCol w:w="688"/>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43" w:hRule="atLeast"/>
          <w:jc w:val="center"/>
        </w:trPr>
        <w:tc>
          <w:tcPr>
            <w:tcW w:w="3681"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（本列数据的勾稽关系为：第一项加第二项之和，等于第三项加第四项之和）</w:t>
            </w:r>
          </w:p>
        </w:tc>
        <w:tc>
          <w:tcPr>
            <w:tcW w:w="5390"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4" w:hRule="atLeast"/>
          <w:jc w:val="center"/>
        </w:trPr>
        <w:tc>
          <w:tcPr>
            <w:tcW w:w="368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8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74" w:hRule="atLeast"/>
          <w:jc w:val="center"/>
        </w:trPr>
        <w:tc>
          <w:tcPr>
            <w:tcW w:w="368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8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商业企业</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科研机构</w:t>
            </w:r>
          </w:p>
        </w:tc>
        <w:tc>
          <w:tcPr>
            <w:tcW w:w="8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社会公益组织</w:t>
            </w:r>
          </w:p>
        </w:tc>
        <w:tc>
          <w:tcPr>
            <w:tcW w:w="97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法律服务机构</w:t>
            </w:r>
          </w:p>
        </w:tc>
        <w:tc>
          <w:tcPr>
            <w:tcW w:w="71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36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default"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36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三、本年度办理结果</w:t>
            </w:r>
          </w:p>
        </w:tc>
        <w:tc>
          <w:tcPr>
            <w:tcW w:w="30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ascii="楷体" w:hAnsi="楷体" w:eastAsia="楷体" w:cs="楷体"/>
                <w:color w:val="000000" w:themeColor="text1"/>
                <w:kern w:val="0"/>
                <w:sz w:val="20"/>
                <w:szCs w:val="20"/>
                <w:lang w:val="en-US" w:eastAsia="zh-CN" w:bidi="ar"/>
                <w14:textFill>
                  <w14:solidFill>
                    <w14:schemeClr w14:val="tx1"/>
                  </w14:solidFill>
                </w14:textFill>
              </w:rPr>
              <w:t>（一）予以公开</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30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（二）部分公开（区分处理的，只计这一情形，不计其他情形）</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（三）不予公开</w:t>
            </w: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1.属于国家秘密</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2.其他法律行政法规禁止公开</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3.危及“三安全一稳定”</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4.保护第三方合法权益</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5.属于三类内部事务信息</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6.属于四类过程性信息</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7.属于行政执法案卷</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8.属于行政查询事项</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（四）无法提供</w:t>
            </w: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1.本机关不掌握相关政府信息</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2.没有现成信息需要另行制作</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3.补正后申请内容仍不明确</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（五）不予处理</w:t>
            </w: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1.信访举报投诉类申请</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2.重复申请</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3.要求提供公开出版物</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4.无正当理由大量反复申请</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67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239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5.要求行政机关确认或重新出具已获取信息</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30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（六）其他处理</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61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color w:val="000000" w:themeColor="text1"/>
                <w:sz w:val="24"/>
                <w:szCs w:val="24"/>
                <w14:textFill>
                  <w14:solidFill>
                    <w14:schemeClr w14:val="tx1"/>
                  </w14:solidFill>
                </w14:textFill>
              </w:rPr>
            </w:pPr>
          </w:p>
        </w:tc>
        <w:tc>
          <w:tcPr>
            <w:tcW w:w="306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楷体" w:hAnsi="楷体" w:eastAsia="楷体" w:cs="楷体"/>
                <w:color w:val="000000" w:themeColor="text1"/>
                <w:kern w:val="0"/>
                <w:sz w:val="20"/>
                <w:szCs w:val="20"/>
                <w:lang w:val="en-US" w:eastAsia="zh-CN" w:bidi="ar"/>
                <w14:textFill>
                  <w14:solidFill>
                    <w14:schemeClr w14:val="tx1"/>
                  </w14:solidFill>
                </w14:textFill>
              </w:rPr>
              <w:t>（七）总计</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7" w:hRule="exact"/>
          <w:jc w:val="center"/>
        </w:trPr>
        <w:tc>
          <w:tcPr>
            <w:tcW w:w="3681"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四、结转下年度继续办理</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5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1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7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711"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260" w:lineRule="exact"/>
              <w:ind w:left="0" w:right="0"/>
              <w:jc w:val="center"/>
              <w:textAlignment w:val="auto"/>
              <w:rPr>
                <w:rFonts w:hint="eastAsia" w:eastAsiaTheme="minor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6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60" w:lineRule="exact"/>
              <w:jc w:val="center"/>
              <w:textAlignment w:val="auto"/>
              <w:rPr>
                <w:rFonts w:hint="eastAsia" w:ascii="宋体" w:eastAsia="宋体"/>
                <w:color w:val="000000" w:themeColor="text1"/>
                <w:sz w:val="24"/>
                <w:szCs w:val="24"/>
                <w:lang w:val="en-US" w:eastAsia="zh-CN"/>
                <w14:textFill>
                  <w14:solidFill>
                    <w14:schemeClr w14:val="tx1"/>
                  </w14:solidFill>
                </w14:textFill>
              </w:rPr>
            </w:pPr>
            <w:r>
              <w:rPr>
                <w:rFonts w:hint="eastAsia" w:ascii="宋体"/>
                <w:color w:val="000000" w:themeColor="text1"/>
                <w:sz w:val="24"/>
                <w:szCs w:val="24"/>
                <w:lang w:val="en-US" w:eastAsia="zh-CN"/>
                <w14:textFill>
                  <w14:solidFill>
                    <w14:schemeClr w14:val="tx1"/>
                  </w14:solidFill>
                </w14:textFill>
              </w:rPr>
              <w:t>0</w:t>
            </w:r>
          </w:p>
        </w:tc>
      </w:tr>
    </w:tbl>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20" w:lineRule="exact"/>
        <w:ind w:right="0" w:rightChars="0"/>
        <w:jc w:val="left"/>
        <w:textAlignment w:val="auto"/>
        <w:rPr>
          <w:rFonts w:hint="eastAsia" w:ascii="黑体" w:hAnsi="黑体" w:eastAsia="黑体" w:cs="黑体"/>
          <w:caps w:val="0"/>
          <w:color w:val="000000" w:themeColor="text1"/>
          <w:spacing w:val="0"/>
          <w:sz w:val="32"/>
          <w:szCs w:val="32"/>
          <w14:textFill>
            <w14:solidFill>
              <w14:schemeClr w14:val="tx1"/>
            </w14:solidFill>
          </w14:textFill>
        </w:rPr>
      </w:pP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20" w:lineRule="exact"/>
        <w:ind w:right="0" w:rightChars="0" w:firstLine="640" w:firstLineChars="200"/>
        <w:jc w:val="left"/>
        <w:textAlignment w:val="auto"/>
        <w:rPr>
          <w:rFonts w:hint="eastAsia" w:ascii="黑体" w:hAnsi="黑体" w:eastAsia="黑体" w:cs="黑体"/>
          <w:caps w:val="0"/>
          <w:color w:val="000000" w:themeColor="text1"/>
          <w:spacing w:val="0"/>
          <w:sz w:val="32"/>
          <w:szCs w:val="32"/>
          <w14:textFill>
            <w14:solidFill>
              <w14:schemeClr w14:val="tx1"/>
            </w14:solidFill>
          </w14:textFill>
        </w:rPr>
      </w:pPr>
      <w:r>
        <w:rPr>
          <w:rFonts w:hint="eastAsia" w:ascii="黑体" w:hAnsi="黑体" w:eastAsia="黑体" w:cs="黑体"/>
          <w:caps w:val="0"/>
          <w:color w:val="000000" w:themeColor="text1"/>
          <w:spacing w:val="0"/>
          <w:sz w:val="32"/>
          <w:szCs w:val="32"/>
          <w14:textFill>
            <w14:solidFill>
              <w14:schemeClr w14:val="tx1"/>
            </w14:solidFill>
          </w14:textFill>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4"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44"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585"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lang w:val="en-US" w:eastAsia="zh-CN"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30" w:hRule="atLeast"/>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300" w:lineRule="exact"/>
              <w:ind w:left="0" w:right="0"/>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0</w:t>
            </w:r>
          </w:p>
        </w:tc>
      </w:tr>
    </w:tbl>
    <w:p>
      <w:pPr>
        <w:keepNext w:val="0"/>
        <w:keepLines w:val="0"/>
        <w:pageBreakBefore w:val="0"/>
        <w:numPr>
          <w:ilvl w:val="0"/>
          <w:numId w:val="0"/>
        </w:numPr>
        <w:kinsoku/>
        <w:overflowPunct/>
        <w:topLinePunct w:val="0"/>
        <w:autoSpaceDE/>
        <w:autoSpaceDN/>
        <w:bidi w:val="0"/>
        <w:adjustRightInd/>
        <w:snapToGrid/>
        <w:spacing w:line="620" w:lineRule="exact"/>
        <w:ind w:left="0" w:leftChars="0" w:right="0" w:rightChars="0" w:firstLine="640"/>
        <w:jc w:val="both"/>
        <w:textAlignment w:val="auto"/>
        <w:outlineLvl w:val="9"/>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五、存在主要问题及改进情况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20" w:lineRule="exact"/>
        <w:ind w:left="0" w:leftChars="0" w:right="0" w:rightChars="0" w:firstLine="643" w:firstLineChars="200"/>
        <w:jc w:val="left"/>
        <w:textAlignment w:val="auto"/>
        <w:outlineLvl w:val="9"/>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存在问题：</w:t>
      </w:r>
    </w:p>
    <w:p>
      <w:pPr>
        <w:pStyle w:val="10"/>
        <w:keepNext w:val="0"/>
        <w:keepLines w:val="0"/>
        <w:pageBreakBefore w:val="0"/>
        <w:pBdr>
          <w:top w:val="none" w:color="FFFFFF" w:sz="0" w:space="0"/>
          <w:left w:val="none" w:color="FFFFFF" w:sz="0" w:space="0"/>
          <w:bottom w:val="none" w:color="FFFFFF" w:sz="0" w:space="0"/>
          <w:right w:val="none" w:color="FFFFFF" w:sz="0" w:space="0"/>
          <w:between w:val="none" w:color="auto" w:sz="0" w:space="0"/>
        </w:pBdr>
        <w:kinsoku/>
        <w:overflowPunct/>
        <w:topLinePunct w:val="0"/>
        <w:autoSpaceDE/>
        <w:autoSpaceDN/>
        <w:bidi w:val="0"/>
        <w:adjustRightInd/>
        <w:snapToGrid/>
        <w:spacing w:before="0" w:after="0" w:line="600" w:lineRule="exact"/>
        <w:ind w:firstLine="600"/>
        <w:jc w:val="left"/>
        <w:textAlignment w:val="auto"/>
        <w:rPr>
          <w:rStyle w:val="8"/>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由于政务公开开涉及面广、政策性强，政府信息公开的体制机制仍需进一步完善，尤其是基层乡镇及相关部门</w:t>
      </w:r>
      <w:r>
        <w:rPr>
          <w:rStyle w:val="8"/>
          <w:rFonts w:hint="eastAsia" w:ascii="仿宋_GB2312" w:hAnsi="仿宋_GB2312" w:eastAsia="仿宋_GB2312" w:cs="仿宋_GB2312"/>
          <w:color w:val="000000" w:themeColor="text1"/>
          <w:sz w:val="32"/>
          <w:szCs w:val="32"/>
          <w14:textFill>
            <w14:solidFill>
              <w14:schemeClr w14:val="tx1"/>
            </w14:solidFill>
          </w14:textFill>
        </w:rPr>
        <w:t>抓一阵，停一阵，政务公开的力度不大，进展不快</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公开内容不规范</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少数乡镇和部门公开的内容不具体，重点不突出，对群众关心的热点问题等应该公开的未能做到全部公开</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公开方式较为单一</w:t>
      </w:r>
      <w:r>
        <w:rPr>
          <w:rStyle w:val="8"/>
          <w:rFonts w:hint="eastAsia" w:ascii="仿宋_GB2312" w:hAnsi="仿宋_GB2312" w:eastAsia="仿宋_GB2312" w:cs="仿宋_GB2312"/>
          <w:color w:val="000000" w:themeColor="text1"/>
          <w:sz w:val="32"/>
          <w:szCs w:val="32"/>
          <w:lang w:eastAsia="zh-CN"/>
          <w14:textFill>
            <w14:solidFill>
              <w14:schemeClr w14:val="tx1"/>
            </w14:solidFill>
          </w14:textFill>
        </w:rPr>
        <w:t>，</w:t>
      </w:r>
      <w:r>
        <w:rPr>
          <w:rStyle w:val="8"/>
          <w:rFonts w:hint="eastAsia" w:ascii="仿宋_GB2312" w:hAnsi="仿宋_GB2312" w:eastAsia="仿宋_GB2312" w:cs="仿宋_GB2312"/>
          <w:color w:val="000000" w:themeColor="text1"/>
          <w:sz w:val="32"/>
          <w:szCs w:val="32"/>
          <w14:textFill>
            <w14:solidFill>
              <w14:schemeClr w14:val="tx1"/>
            </w14:solidFill>
          </w14:textFill>
        </w:rPr>
        <w:t>有的单位还只停留在通过公示栏、召开会议等传统形式进行公开，没有充分利用网络、媒体等主流方式进行公开。这些问题都需要在今后的工作中认真研究，切实解决，不断把政务公开工作推向深入。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bCs/>
          <w:color w:val="000000" w:themeColor="text1"/>
          <w:kern w:val="0"/>
          <w:sz w:val="32"/>
          <w:szCs w:val="32"/>
          <w:lang w:val="en-US" w:eastAsia="zh-CN" w:bidi="ar"/>
          <w14:textFill>
            <w14:solidFill>
              <w14:schemeClr w14:val="tx1"/>
            </w14:solidFill>
          </w14:textFill>
        </w:rPr>
        <w:t>工作建议：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color="auto" w:fill="FFFFFF"/>
          <w14:textFill>
            <w14:solidFill>
              <w14:schemeClr w14:val="tx1"/>
            </w14:solidFill>
          </w14:textFill>
        </w:rPr>
        <w:t>一是</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继续充实公开内容，围绕重点领域、民生改善和社会关切，加强对公众关注度高的政府热点信息的梳理。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3" w:firstLineChars="200"/>
        <w:jc w:val="left"/>
        <w:textAlignment w:val="auto"/>
        <w:outlineLvl w:val="9"/>
        <w:rPr>
          <w:rFonts w:hint="eastAsia" w:ascii="仿宋_GB2312" w:hAnsi="仿宋_GB2312" w:eastAsia="仿宋_GB2312" w:cs="仿宋_GB2312"/>
          <w:color w:val="000000" w:themeColor="text1"/>
          <w:lang w:val="en-US" w:eastAsia="zh-CN"/>
          <w14:textFill>
            <w14:solidFill>
              <w14:schemeClr w14:val="tx1"/>
            </w14:solidFill>
          </w14:textFill>
        </w:rPr>
      </w:pPr>
      <w:r>
        <w:rPr>
          <w:rFonts w:hint="eastAsia" w:ascii="仿宋_GB2312" w:hAnsi="仿宋_GB2312" w:eastAsia="仿宋_GB2312" w:cs="仿宋_GB2312"/>
          <w:b/>
          <w:bCs/>
          <w:i w:val="0"/>
          <w:caps w:val="0"/>
          <w:color w:val="000000" w:themeColor="text1"/>
          <w:spacing w:val="0"/>
          <w:sz w:val="32"/>
          <w:szCs w:val="32"/>
          <w:shd w:val="clear" w:color="auto" w:fill="FFFFFF"/>
          <w14:textFill>
            <w14:solidFill>
              <w14:schemeClr w14:val="tx1"/>
            </w14:solidFill>
          </w14:textFill>
        </w:rPr>
        <w:t>二是</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深化重大决策公开，增强公共政策制定透明度和公众参与度</w:t>
      </w:r>
      <w:r>
        <w:rPr>
          <w:rFonts w:hint="eastAsia" w:ascii="仿宋_GB2312" w:hAnsi="仿宋_GB2312" w:eastAsia="仿宋_GB2312" w:cs="仿宋_GB2312"/>
          <w:b w:val="0"/>
          <w:i w:val="0"/>
          <w:caps w:val="0"/>
          <w:color w:val="000000" w:themeColor="text1"/>
          <w:spacing w:val="0"/>
          <w:sz w:val="32"/>
          <w:szCs w:val="32"/>
          <w:shd w:val="clear" w:color="auto" w:fill="FFFFFF"/>
          <w:lang w:val="en-US"/>
          <w14:textFill>
            <w14:solidFill>
              <w14:schemeClr w14:val="tx1"/>
            </w14:solidFill>
          </w14:textFill>
        </w:rPr>
        <w:t>,</w:t>
      </w:r>
      <w:r>
        <w:rPr>
          <w:rFonts w:hint="eastAsia" w:ascii="仿宋_GB2312" w:hAnsi="仿宋_GB2312" w:eastAsia="仿宋_GB2312" w:cs="仿宋_GB2312"/>
          <w:b w:val="0"/>
          <w:i w:val="0"/>
          <w:caps w:val="0"/>
          <w:color w:val="000000" w:themeColor="text1"/>
          <w:spacing w:val="0"/>
          <w:sz w:val="32"/>
          <w:szCs w:val="32"/>
          <w:shd w:val="clear" w:color="auto" w:fill="FFFFFF"/>
          <w14:textFill>
            <w14:solidFill>
              <w14:schemeClr w14:val="tx1"/>
            </w14:solidFill>
          </w14:textFill>
        </w:rPr>
        <w:t>不断扩大行政决策公开领域和范围，推进行政决策过程和结果公开。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600" w:lineRule="exact"/>
        <w:ind w:left="0" w:leftChars="0" w:right="0" w:rightChars="0" w:firstLine="640" w:firstLineChars="200"/>
        <w:jc w:val="left"/>
        <w:textAlignment w:val="auto"/>
        <w:outlineLvl w:val="9"/>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b w:val="0"/>
          <w:color w:val="000000" w:themeColor="text1"/>
          <w:kern w:val="0"/>
          <w:sz w:val="32"/>
          <w:szCs w:val="32"/>
          <w:lang w:val="en-US" w:eastAsia="zh-CN" w:bidi="ar"/>
          <w14:textFill>
            <w14:solidFill>
              <w14:schemeClr w14:val="tx1"/>
            </w14:solidFill>
          </w14:textFill>
        </w:rPr>
        <w:t>下一步，我县将进一步建立健全政务信息公开长效机制，以社会需求为导向，深化政府信息公开内容，进一步完善信息发布体系，向社会披露公众关注度高、涉及面广的的法律法规及重要决策等政务信息；加强公开队伍业务能力，深入学习《条例》内容与政府网站、政务新媒体建设管理相关政策文件，进一步强化队伍的责任意识，提升业务素养；加强公开专业性强及公众关注度高的规范性文件、重大决定等文件材料工作，及时更新信息，为受众提供方便。</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5"/>
        <w:jc w:val="left"/>
        <w:textAlignment w:val="auto"/>
        <w:rPr>
          <w:rFonts w:hint="eastAsia" w:ascii="黑体" w:hAnsi="黑体" w:eastAsia="黑体" w:cs="黑体"/>
          <w:caps w:val="0"/>
          <w:color w:val="000000" w:themeColor="text1"/>
          <w:spacing w:val="0"/>
          <w:sz w:val="32"/>
          <w:szCs w:val="32"/>
          <w:lang w:val="en-US" w:eastAsia="zh-CN"/>
          <w14:textFill>
            <w14:solidFill>
              <w14:schemeClr w14:val="tx1"/>
            </w14:solidFill>
          </w14:textFill>
        </w:rPr>
      </w:pPr>
      <w:r>
        <w:rPr>
          <w:rFonts w:hint="eastAsia" w:ascii="黑体" w:hAnsi="黑体" w:eastAsia="黑体" w:cs="黑体"/>
          <w:caps w:val="0"/>
          <w:color w:val="000000" w:themeColor="text1"/>
          <w:spacing w:val="0"/>
          <w:sz w:val="32"/>
          <w:szCs w:val="32"/>
          <w:lang w:val="en-US" w:eastAsia="zh-CN"/>
          <w14:textFill>
            <w14:solidFill>
              <w14:schemeClr w14:val="tx1"/>
            </w14:solidFill>
          </w14:textFill>
        </w:rPr>
        <w:t>六、其他需要报告的事项 </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5"/>
        <w:jc w:val="left"/>
        <w:textAlignment w:val="auto"/>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t xml:space="preserve">无。                  </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4499" w:firstLineChars="1406"/>
        <w:jc w:val="left"/>
        <w:textAlignment w:val="auto"/>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t xml:space="preserve">   </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right="0" w:rightChars="0" w:firstLine="4800" w:firstLineChars="1500"/>
        <w:jc w:val="left"/>
        <w:textAlignment w:val="auto"/>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t>岢岚县人民政府</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leftChars="0" w:right="0" w:rightChars="0" w:firstLine="645"/>
        <w:jc w:val="left"/>
        <w:textAlignment w:val="auto"/>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pPr>
      <w:r>
        <w:rPr>
          <w:rFonts w:hint="eastAsia" w:ascii="仿宋_GB2312" w:hAnsi="仿宋_GB2312" w:eastAsia="仿宋_GB2312" w:cs="仿宋_GB2312"/>
          <w:caps w:val="0"/>
          <w:color w:val="000000" w:themeColor="text1"/>
          <w:spacing w:val="0"/>
          <w:sz w:val="32"/>
          <w:szCs w:val="32"/>
          <w:lang w:val="en-US" w:eastAsia="zh-CN"/>
          <w14:textFill>
            <w14:solidFill>
              <w14:schemeClr w14:val="tx1"/>
            </w14:solidFill>
          </w14:textFill>
        </w:rPr>
        <w:t xml:space="preserve">                          2023年1月28日</w:t>
      </w:r>
    </w:p>
    <w:sectPr>
      <w:footerReference r:id="rId3" w:type="default"/>
      <w:pgSz w:w="11906" w:h="16838"/>
      <w:pgMar w:top="1440" w:right="1800" w:bottom="1440" w:left="1800"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yZTQ3MGUzNTEzMWUxZWY0ZGQ4OWI5ZjkzODMwMTgifQ=="/>
  </w:docVars>
  <w:rsids>
    <w:rsidRoot w:val="26EC5434"/>
    <w:rsid w:val="05261B2C"/>
    <w:rsid w:val="0A1551C4"/>
    <w:rsid w:val="0AAE784B"/>
    <w:rsid w:val="0DBE2F33"/>
    <w:rsid w:val="0FDF583D"/>
    <w:rsid w:val="10D0103A"/>
    <w:rsid w:val="10F54829"/>
    <w:rsid w:val="11797B5C"/>
    <w:rsid w:val="11AF7C66"/>
    <w:rsid w:val="12AA3751"/>
    <w:rsid w:val="18BF7BE9"/>
    <w:rsid w:val="1F63586A"/>
    <w:rsid w:val="203B3B13"/>
    <w:rsid w:val="26EC5434"/>
    <w:rsid w:val="26FF25AD"/>
    <w:rsid w:val="28CF4308"/>
    <w:rsid w:val="28EA31EF"/>
    <w:rsid w:val="2D7F32FB"/>
    <w:rsid w:val="30566BA5"/>
    <w:rsid w:val="35991BD1"/>
    <w:rsid w:val="3BBC7B33"/>
    <w:rsid w:val="3F3B1D9D"/>
    <w:rsid w:val="412B2706"/>
    <w:rsid w:val="441E4553"/>
    <w:rsid w:val="44952C58"/>
    <w:rsid w:val="4AD253A4"/>
    <w:rsid w:val="4C0F7BB5"/>
    <w:rsid w:val="4E4763B7"/>
    <w:rsid w:val="4F4714C4"/>
    <w:rsid w:val="563F54B2"/>
    <w:rsid w:val="5B3A30DE"/>
    <w:rsid w:val="5C697206"/>
    <w:rsid w:val="6070366B"/>
    <w:rsid w:val="607B7183"/>
    <w:rsid w:val="60A1330F"/>
    <w:rsid w:val="61394A7D"/>
    <w:rsid w:val="63384384"/>
    <w:rsid w:val="71FD2B9E"/>
    <w:rsid w:val="72704FCA"/>
    <w:rsid w:val="75F23E97"/>
    <w:rsid w:val="765773D9"/>
    <w:rsid w:val="76C11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afterLines="0" w:afterAutospacing="0" w:line="480" w:lineRule="auto"/>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Normal_0"/>
    <w:qFormat/>
    <w:uiPriority w:val="0"/>
    <w:pPr>
      <w:spacing w:after="0" w:line="240" w:lineRule="auto"/>
    </w:pPr>
    <w:rPr>
      <w:rFonts w:ascii="Times New Roman" w:hAnsi="Times New Roman" w:eastAsia="Times New Roman" w:cs="Times New Roman"/>
      <w:sz w:val="24"/>
      <w:szCs w:val="24"/>
      <w:lang w:val="en-US" w:eastAsia="uk-UA"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2017-10-22T01:06:00Z</dcterms:created>
  <dc:creator>Administrator</dc:creator>
  <cp:lastModifiedBy>小七</cp:lastModifiedBy>
  <cp:lastPrinted>2021-02-23T07:29:00Z</cp:lastPrinted>
  <dcterms:modified xsi:type="dcterms:W3CDTF">2023-02-06T09:55:40Z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9703EB83FB9C48F6966E3838E65DBDA1</vt:lpwstr>
  </property>
</Properties>
</file>